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9" w:rsidRPr="00C31E79" w:rsidRDefault="00C31E79" w:rsidP="00C31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АДМИНИСТРАЦИЯ БЕСПЛЕМЯНОВСКОГО СЕЛЬСКОГО ПОСЕЛЕНИЯ</w:t>
      </w:r>
    </w:p>
    <w:p w:rsidR="00C31E79" w:rsidRPr="00C31E79" w:rsidRDefault="00C31E79" w:rsidP="00C31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C31E79" w:rsidRPr="00C31E79" w:rsidRDefault="00C31E79" w:rsidP="00C31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31E79" w:rsidRDefault="00C31E79" w:rsidP="004A47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471D" w:rsidRDefault="00547011" w:rsidP="004A47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547011" w:rsidRDefault="00547011" w:rsidP="004A47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1D" w:rsidRDefault="004A471D" w:rsidP="004A4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7011">
        <w:rPr>
          <w:rFonts w:ascii="Times New Roman" w:hAnsi="Times New Roman" w:cs="Times New Roman"/>
          <w:sz w:val="24"/>
          <w:szCs w:val="24"/>
        </w:rPr>
        <w:t xml:space="preserve">« 02 » ноября </w:t>
      </w:r>
      <w:r>
        <w:rPr>
          <w:rFonts w:ascii="Times New Roman" w:hAnsi="Times New Roman" w:cs="Times New Roman"/>
          <w:sz w:val="24"/>
          <w:szCs w:val="24"/>
        </w:rPr>
        <w:t xml:space="preserve"> 2017 г.                              </w:t>
      </w:r>
      <w:r w:rsidR="005470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47011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4A471D" w:rsidRPr="00C31E79" w:rsidRDefault="004A471D" w:rsidP="004A4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A471D">
        <w:rPr>
          <w:rFonts w:ascii="Times New Roman" w:hAnsi="Times New Roman" w:cs="Times New Roman"/>
          <w:sz w:val="24"/>
          <w:szCs w:val="24"/>
        </w:rPr>
        <w:t>П</w:t>
      </w:r>
      <w:r w:rsidRPr="00C31E79">
        <w:rPr>
          <w:rFonts w:ascii="Times New Roman" w:hAnsi="Times New Roman" w:cs="Times New Roman"/>
          <w:sz w:val="24"/>
          <w:szCs w:val="24"/>
        </w:rPr>
        <w:t>рограммы комплексного развития</w:t>
      </w:r>
    </w:p>
    <w:p w:rsidR="00C31E79" w:rsidRPr="00C31E79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</w:t>
      </w:r>
    </w:p>
    <w:p w:rsidR="00C31E79" w:rsidRPr="00C31E79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Бсплемяновского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1E79" w:rsidRPr="00C31E79" w:rsidRDefault="00C31E79" w:rsidP="00C31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C31E79" w:rsidRPr="00C31E79" w:rsidRDefault="00C31E79" w:rsidP="00C31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на 2017-2023 годы</w:t>
      </w:r>
    </w:p>
    <w:p w:rsidR="00C31E79" w:rsidRPr="00C31E79" w:rsidRDefault="00C31E79" w:rsidP="00C31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 w:rsidRPr="00C31E79">
        <w:rPr>
          <w:rFonts w:ascii="Times New Roman" w:hAnsi="Times New Roman" w:cs="Times New Roman"/>
          <w:color w:val="000000"/>
          <w:sz w:val="24"/>
          <w:szCs w:val="24"/>
        </w:rPr>
        <w:t>Федеральной целевой программой «Комплексная программа модернизации и реформирования ЖКХ на 2010-2020 годы»,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E79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E79" w:rsidRPr="00C31E79" w:rsidRDefault="00547011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 П</w:t>
      </w:r>
      <w:r w:rsidR="00C31E79" w:rsidRPr="00C31E79">
        <w:rPr>
          <w:rFonts w:ascii="Times New Roman" w:hAnsi="Times New Roman" w:cs="Times New Roman"/>
          <w:sz w:val="24"/>
          <w:szCs w:val="24"/>
        </w:rPr>
        <w:t>рограмму комплексного развития систем коммунальной инфраструктуры Бесплемяновского сельского поселения  Урюпинского муниципального района (Приложение).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 посредством размещения на официальном сайте администрации Урюпинского муниципального района </w:t>
      </w:r>
      <w:hyperlink r:id="rId6" w:history="1">
        <w:r w:rsidRPr="00C31E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1E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1E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umr</w:t>
        </w:r>
        <w:proofErr w:type="spellEnd"/>
        <w:r w:rsidRPr="00C31E79">
          <w:rPr>
            <w:rStyle w:val="a3"/>
            <w:rFonts w:ascii="Times New Roman" w:hAnsi="Times New Roman" w:cs="Times New Roman"/>
            <w:sz w:val="24"/>
            <w:szCs w:val="24"/>
          </w:rPr>
          <w:t>34.</w:t>
        </w:r>
        <w:proofErr w:type="spellStart"/>
        <w:r w:rsidRPr="00C31E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63CB6">
        <w:rPr>
          <w:rFonts w:ascii="Times New Roman" w:hAnsi="Times New Roman" w:cs="Times New Roman"/>
          <w:sz w:val="24"/>
          <w:szCs w:val="24"/>
        </w:rPr>
        <w:t>, в разделе «Администрати</w:t>
      </w:r>
      <w:bookmarkStart w:id="0" w:name="_GoBack"/>
      <w:bookmarkEnd w:id="0"/>
      <w:r w:rsidRPr="00C31E79">
        <w:rPr>
          <w:rFonts w:ascii="Times New Roman" w:hAnsi="Times New Roman" w:cs="Times New Roman"/>
          <w:sz w:val="24"/>
          <w:szCs w:val="24"/>
        </w:rPr>
        <w:t>вное деление», в подразделе «Бесплемяновское сельское поселение».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4. Постановление вступает в силу со дня его подписания.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Глава Бесплемяновского 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С.С. Дворянчикова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C31E79" w:rsidRPr="00C31E79" w:rsidRDefault="00C31E79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                             Утверждаю:</w:t>
      </w:r>
    </w:p>
    <w:p w:rsidR="00C31E79" w:rsidRPr="00C31E79" w:rsidRDefault="00C31E79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                         Глава   Бесплемяновского</w:t>
      </w:r>
    </w:p>
    <w:p w:rsidR="00C31E79" w:rsidRPr="00C31E79" w:rsidRDefault="00C31E79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сельского поселения Урюпинского</w:t>
      </w:r>
    </w:p>
    <w:p w:rsidR="00C31E79" w:rsidRPr="00C31E79" w:rsidRDefault="00C31E79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                          муниципального района</w:t>
      </w:r>
    </w:p>
    <w:p w:rsidR="00C31E79" w:rsidRPr="00C31E79" w:rsidRDefault="00C31E79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31E79" w:rsidRPr="00C31E79" w:rsidRDefault="00C31E79" w:rsidP="00C31E79">
      <w:pPr>
        <w:spacing w:after="0" w:line="240" w:lineRule="auto"/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______________С.С. Дворянчикова                  </w:t>
      </w:r>
    </w:p>
    <w:p w:rsidR="00C31E79" w:rsidRPr="00C31E79" w:rsidRDefault="00C31E79" w:rsidP="00C31E79">
      <w:pPr>
        <w:spacing w:after="0" w:line="240" w:lineRule="auto"/>
        <w:ind w:right="4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E79" w:rsidRPr="00547011" w:rsidRDefault="00C31E79" w:rsidP="00C31E79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>комплексного развития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 xml:space="preserve">систем коммунальной инфраструктуры  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>Бесплемяновского сельского поселения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>Урюпинского муниципального района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>Волгоградской области</w:t>
      </w:r>
    </w:p>
    <w:p w:rsidR="00C31E79" w:rsidRPr="00547011" w:rsidRDefault="00C31E79" w:rsidP="00C31E7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547011">
        <w:rPr>
          <w:rFonts w:ascii="Times New Roman" w:hAnsi="Times New Roman" w:cs="Times New Roman"/>
          <w:b/>
          <w:sz w:val="44"/>
          <w:szCs w:val="44"/>
        </w:rPr>
        <w:t xml:space="preserve">на период 2017-2023 </w:t>
      </w:r>
      <w:proofErr w:type="spellStart"/>
      <w:r w:rsidRPr="00547011">
        <w:rPr>
          <w:rFonts w:ascii="Times New Roman" w:hAnsi="Times New Roman" w:cs="Times New Roman"/>
          <w:b/>
          <w:sz w:val="44"/>
          <w:szCs w:val="44"/>
        </w:rPr>
        <w:t>г.</w:t>
      </w:r>
      <w:proofErr w:type="gramStart"/>
      <w:r w:rsidRPr="00547011">
        <w:rPr>
          <w:rFonts w:ascii="Times New Roman" w:hAnsi="Times New Roman" w:cs="Times New Roman"/>
          <w:b/>
          <w:sz w:val="44"/>
          <w:szCs w:val="44"/>
        </w:rPr>
        <w:t>г</w:t>
      </w:r>
      <w:proofErr w:type="spellEnd"/>
      <w:proofErr w:type="gramEnd"/>
      <w:r w:rsidRPr="00547011">
        <w:rPr>
          <w:rFonts w:ascii="Times New Roman" w:hAnsi="Times New Roman" w:cs="Times New Roman"/>
          <w:b/>
          <w:sz w:val="44"/>
          <w:szCs w:val="44"/>
        </w:rPr>
        <w:t>.</w:t>
      </w:r>
    </w:p>
    <w:p w:rsidR="00C31E79" w:rsidRPr="00547011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C31E79" w:rsidRPr="00547011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ind w:firstLine="252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1. Описание программы.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1.1. Основная цель «Программы комплексного развития систем коммунальной инфраструктуры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Бесплемяноовского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 на 2017-2023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.» - развитие и модернизация муниципальных коммунальных систем теплоснабжения,  электроснабжения, водоснабжения и водоотведения 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Бесплемяноовского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сельского поселения  Урюпинского муниципального района Волгоградской области для обеспечения ключевых  целевых  параметров их состояния, соответствующих современному состоянию.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hd w:val="clear" w:color="auto" w:fill="FFFFFF"/>
        <w:spacing w:after="0" w:line="240" w:lineRule="auto"/>
        <w:ind w:right="86" w:firstLine="1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1.2. Программа подготовлена в соответствии с требованиями федерального закона от 06.10.2003 г. N131- ФЗ "Об общих принципах организации местного самоуправления в Российской Федерации"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  Федерального закона от 30.12.2004 г. N 210-ФЗ "Об основах регулирования тарифов организаций коммунального комплекса", Федеральной целевой программы «Комплексная программа модернизации и реформирования ЖКХ на 2010-2020 годы»,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C31E7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31E79">
        <w:rPr>
          <w:rFonts w:ascii="Times New Roman" w:hAnsi="Times New Roman" w:cs="Times New Roman"/>
          <w:sz w:val="24"/>
          <w:szCs w:val="24"/>
        </w:rPr>
        <w:t xml:space="preserve">. № 210-ФЗ «Об основах регулирования тарифов организаций коммунального комплекса»; </w:t>
      </w:r>
      <w:r w:rsidRPr="00C31E79">
        <w:rPr>
          <w:rFonts w:ascii="Times New Roman" w:hAnsi="Times New Roman" w:cs="Times New Roman"/>
          <w:sz w:val="24"/>
          <w:szCs w:val="24"/>
        </w:rPr>
        <w:tab/>
        <w:t xml:space="preserve">Генерального плана развития муниципального образования Бесплемяновского сельского поселения Урюпинского муниципального района                    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ab/>
        <w:t>2. Введение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2.1.Краткая характеристика.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Муниципальное образование Бесплемяновское сельское поселение расположено в центральной части Урюпинского муниципального района.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Граница Бесплемяновское сельского  поселения утверждена Законом Волгоградской области от 30.03.2005 года № 1037- ОД "Об установлении границ и наделении статусом Урюпинского района и муниципальных образований в его составе". 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В состав Бесплемяновского сельского поселения входят хутора х. Бесплемяновский, х.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Захопёрский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>, х. Кривовский, х. Ржавский, с  административным центром х. Бесплемяновский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Бесплемяновское сельское поселение граничит со следующими муниципальными образованиями: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-</w:t>
      </w:r>
      <w:r w:rsidRPr="00C31E79">
        <w:rPr>
          <w:rFonts w:ascii="Times New Roman" w:hAnsi="Times New Roman" w:cs="Times New Roman"/>
          <w:sz w:val="24"/>
          <w:szCs w:val="24"/>
        </w:rPr>
        <w:tab/>
        <w:t xml:space="preserve"> с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Верхнебезымяновским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сельским поселением Урюпинского муниципального района;</w:t>
      </w:r>
    </w:p>
    <w:p w:rsidR="00C31E79" w:rsidRPr="00C31E79" w:rsidRDefault="00547011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1E79" w:rsidRPr="00C31E79">
        <w:rPr>
          <w:rFonts w:ascii="Times New Roman" w:hAnsi="Times New Roman" w:cs="Times New Roman"/>
          <w:sz w:val="24"/>
          <w:szCs w:val="24"/>
        </w:rPr>
        <w:t xml:space="preserve">с  </w:t>
      </w:r>
      <w:proofErr w:type="spellStart"/>
      <w:r w:rsidR="00C31E79" w:rsidRPr="00C31E79">
        <w:rPr>
          <w:rFonts w:ascii="Times New Roman" w:hAnsi="Times New Roman" w:cs="Times New Roman"/>
          <w:sz w:val="24"/>
          <w:szCs w:val="24"/>
        </w:rPr>
        <w:t>Добринским</w:t>
      </w:r>
      <w:proofErr w:type="spellEnd"/>
      <w:r w:rsidR="00C31E79" w:rsidRPr="00C31E79">
        <w:rPr>
          <w:rFonts w:ascii="Times New Roman" w:hAnsi="Times New Roman" w:cs="Times New Roman"/>
          <w:sz w:val="24"/>
          <w:szCs w:val="24"/>
        </w:rPr>
        <w:t xml:space="preserve"> сельским поселением Урюпинского муниципального района;</w:t>
      </w:r>
    </w:p>
    <w:p w:rsidR="00C31E79" w:rsidRPr="00C31E79" w:rsidRDefault="00547011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1E79" w:rsidRPr="00C31E79">
        <w:rPr>
          <w:rFonts w:ascii="Times New Roman" w:hAnsi="Times New Roman" w:cs="Times New Roman"/>
          <w:sz w:val="24"/>
          <w:szCs w:val="24"/>
        </w:rPr>
        <w:t>с Петровским сельским поселением Урюпинского муниципального района;</w:t>
      </w:r>
    </w:p>
    <w:p w:rsidR="00C31E79" w:rsidRPr="00C31E79" w:rsidRDefault="00547011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C31E79" w:rsidRPr="00C31E7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31E79" w:rsidRPr="00C31E79">
        <w:rPr>
          <w:rFonts w:ascii="Times New Roman" w:hAnsi="Times New Roman" w:cs="Times New Roman"/>
          <w:sz w:val="24"/>
          <w:szCs w:val="24"/>
        </w:rPr>
        <w:t>Акчернским</w:t>
      </w:r>
      <w:proofErr w:type="spellEnd"/>
      <w:r w:rsidR="00C31E79" w:rsidRPr="00C31E79">
        <w:rPr>
          <w:rFonts w:ascii="Times New Roman" w:hAnsi="Times New Roman" w:cs="Times New Roman"/>
          <w:sz w:val="24"/>
          <w:szCs w:val="24"/>
        </w:rPr>
        <w:t xml:space="preserve"> сельским поселением Урюпинского муниципального района;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-          с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Россошинским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сельским поселением Урюпинского муниципального района;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-          с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Верхнесоинским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сельским поселением Урюпинского муниципального района.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Основными видами хозяйственной деятельности на территории  Бесплемяновского сельского поселения является сельское хозяйство, розничная торговля, предоставление   коммунальных услуг.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2.2. Охрана окружающей среды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>Соглашениями, заключаемыми с главой Урюпинского муниципального района Волгоградской области ежегодно предусматриваются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 средства, направленные на  рациональное использование природных ресурсов.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lastRenderedPageBreak/>
        <w:t xml:space="preserve">Так  как  водопроводные сети и водозаборные скважины сильно  изношены, возникла необходимость в проведении капитального ремонта сетей (внедрение труб из 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>/э материалов) и работоспособности скважин.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Капитальный ремонт сетей и скважин позволят улучшить санитарно-эпидемиологическую обстановку на территории поселения.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При осуществлении мероприятий, связанных с воздействием на окружающую среду, природные экосистемы, здоровье людей, необходимо заранее, на уровне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или проектной документации исключить возможные отрицательные, негативные последствия путем проведения экологической экспертизы. Под экологической экспертизой следует понимать систему комплексной оценки всех возможных экологических и социально-экономических последствий осуществления проектов, функционирования народнохозяйственных объектов, принятия решений, направленных на предотвращение их отрицательного влияния на окружающую среду и на решение намеченных задач с наименьшей затратой ресурсов и минимальными последствиями.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E79">
        <w:rPr>
          <w:rFonts w:ascii="Times New Roman" w:hAnsi="Times New Roman" w:cs="Times New Roman"/>
          <w:sz w:val="24"/>
          <w:szCs w:val="24"/>
        </w:rPr>
        <w:t>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среды, осуществления природоохранных мероприятий, позволяющих сократить количество выбрасываемых в атмосферный воздух вредных веществ и сброса загрязненных сточных вод.</w:t>
      </w:r>
      <w:proofErr w:type="gramEnd"/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В прогнозируемом периоде основными направлениями деятельности по обеспечению экологической безопасности будут: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- экологически безопасное размещение производительных сил;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- модернизация технологических процессов;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- обеспечение населения питьевой водой нормативного качества;                          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- охрана и рациональное использование земельных ресурсов.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2.3. Санитарная очистка территории поселения.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Согласно ст. 14 Федерального закона № 131-Ф3 от 06.10.2003 г. к вопросам местного  значения поселения относится участие в организации деятельности по сбору (в том числе раздельному сбору) и транспортированию твёрдых коммунальных отходов.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На территории поселения осуществляется  сбор и вывоз твёрдых коммунальных отходов с территорий населенных пунктов Бесплемяновского сельского поселения МУП «Газстройсервис»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мусоровозным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тра</w:t>
      </w:r>
      <w:r w:rsidR="00547011">
        <w:rPr>
          <w:rFonts w:ascii="Times New Roman" w:hAnsi="Times New Roman" w:cs="Times New Roman"/>
          <w:sz w:val="24"/>
          <w:szCs w:val="24"/>
        </w:rPr>
        <w:t>н</w:t>
      </w:r>
      <w:r w:rsidRPr="00C31E79">
        <w:rPr>
          <w:rFonts w:ascii="Times New Roman" w:hAnsi="Times New Roman" w:cs="Times New Roman"/>
          <w:sz w:val="24"/>
          <w:szCs w:val="24"/>
        </w:rPr>
        <w:t>спортом по утверждённому графику.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Твердые коммунальные отходы вывозятся на межмуниципальный полигон ООО «Эко Сфера», расположенный в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Дьяконовском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сельском поселении Урюпинского муниципального района, на котором осуществляется прием и захоронение твердых коммунальных отходов.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Сегодня имеет место ряд нерешенных вопросов в этой сфере. Решение таких задач, как: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Работа с н</w:t>
      </w:r>
      <w:r w:rsidR="00547011">
        <w:rPr>
          <w:rFonts w:ascii="Times New Roman" w:hAnsi="Times New Roman" w:cs="Times New Roman"/>
          <w:sz w:val="24"/>
          <w:szCs w:val="24"/>
        </w:rPr>
        <w:t>а</w:t>
      </w:r>
      <w:r w:rsidRPr="00C31E79">
        <w:rPr>
          <w:rFonts w:ascii="Times New Roman" w:hAnsi="Times New Roman" w:cs="Times New Roman"/>
          <w:sz w:val="24"/>
          <w:szCs w:val="24"/>
        </w:rPr>
        <w:t>селением сельского поселения по заключению договоров по сбору и транспортировке твёрдых коммунальных отходов с МУП «Газстройсервис».</w:t>
      </w:r>
    </w:p>
    <w:p w:rsidR="00C31E79" w:rsidRPr="00C31E79" w:rsidRDefault="00C31E79" w:rsidP="00C31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Решение вопроса с руководством МУП «Газстройсервис» о сборе и вывозе твёрдых коммунальных отходов в х. Ржавский.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2.4. Водопроводно-канализационное хозяйство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2.4.1. Водоснабжение и водоотведение.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В настоящее время организация и ответственность за водоснабжение Бесплемяновского сельского поселения лежит на Администрации сельского поселения и на МКП «Бесплемяновский».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Источником водоснабжения являются подземные воды.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Служба водопроводного хозяйства включает в себя эксплуатацию и обслуживание 4 пожарных гидрантов; артезианских скважин -2 </w:t>
      </w:r>
      <w:proofErr w:type="spellStart"/>
      <w:proofErr w:type="gramStart"/>
      <w:r w:rsidRPr="00C31E7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; водонапорных башен — 1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; сетей протяженностью 5,5  км. Качество питьевой воды </w:t>
      </w:r>
      <w:r w:rsidRPr="00C31E79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C31E79">
        <w:rPr>
          <w:rFonts w:ascii="Times New Roman" w:hAnsi="Times New Roman" w:cs="Times New Roman"/>
          <w:sz w:val="24"/>
          <w:szCs w:val="24"/>
        </w:rPr>
        <w:t xml:space="preserve"> СанПиН 2.1.4.1074-01.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На территории Бесплемяновского сельского поселения действуют 2 водозаборные скважины. Основным оборудованием являются погружные насосы ЭЦВ-6-10-80, и 6-10-50. Зоны санитарной охраны водозаборов, в целях санитарно-эпидемиологической надежности, предусмотрены в соответствии с требованиями СНиП 2.04.02-84 и СанПиН 2.1.41110-02.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В Бесплемяновском сельском поселении центрального водоотведения нет.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2.5. Электроснабжение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Основная цель разработки настоящего раздела ГП - обеспечение оптимального развития энергосистемы Бесплемяновского сельского поселения, взаимосвязанного с его территориально-планировочным развитием.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В настоящее время электроснабжение Бесплемяновского  сельского поселения в основном осуществляется по распределительным линиям 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№ 7 – 6, ВЛ 10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№ 7 – 7, ВЛ 10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№ 7 – 8,  ВЛ 10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№ 7 - 11 от подстанции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.  По балансовой принадлежности электросетевые объекты </w:t>
      </w:r>
      <w:r w:rsidR="00547011">
        <w:rPr>
          <w:rFonts w:ascii="Times New Roman" w:hAnsi="Times New Roman" w:cs="Times New Roman"/>
          <w:sz w:val="24"/>
          <w:szCs w:val="24"/>
        </w:rPr>
        <w:t>Бесплемяно</w:t>
      </w:r>
      <w:r w:rsidRPr="00C31E79">
        <w:rPr>
          <w:rFonts w:ascii="Times New Roman" w:hAnsi="Times New Roman" w:cs="Times New Roman"/>
          <w:sz w:val="24"/>
          <w:szCs w:val="24"/>
        </w:rPr>
        <w:t>вского  сельского поселения относятся к производственном</w:t>
      </w:r>
      <w:r w:rsidR="00547011">
        <w:rPr>
          <w:rFonts w:ascii="Times New Roman" w:hAnsi="Times New Roman" w:cs="Times New Roman"/>
          <w:sz w:val="24"/>
          <w:szCs w:val="24"/>
        </w:rPr>
        <w:t>у отделению «ПАО МРСК Юга</w:t>
      </w:r>
      <w:r w:rsidRPr="00C31E79">
        <w:rPr>
          <w:rFonts w:ascii="Times New Roman" w:hAnsi="Times New Roman" w:cs="Times New Roman"/>
          <w:sz w:val="24"/>
          <w:szCs w:val="24"/>
        </w:rPr>
        <w:t>».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Распределение электроэнергии по потребителям поселения осуществляется на напряжении 10,  0,4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>,  через  понижающие трансформаторные подстанции.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Электрические сети напряжением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ЮкВ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- 3-х проводные. Схема электроснабжения открытая, выполненная проводом АС по опорам ВЛ.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ab/>
        <w:t xml:space="preserve">Электрические сети напряжением 0,4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— четырехпроводные. Схема электроснабжения в основном открытого типа, выполненная проводом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 по опорам ВЛ.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Оборудование на подстанциях находится в удовлетворительном состоянии.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2.6. Теплоснабжение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В х. Бесплемяновский СДК осуществляется от автономных котельных.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Система теплоснабжения в котельных — закрытая.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Схема теплоснабжения тупиковая, двухтрубная, с насосным оборудованием.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Трубопроводы смонтированы из стальных электросварных труб по ГОСТ 10704-91 для систем отопления.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Обеспечение теплом жилой застройки не  осуществляется. Жилая застройка отапливается от индивидуальных автономных отопительных и водонагревательных систем (работающих на природном газе), часть населения имеет печное отопление.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В настоящее время газоснабжение Бесплемяновского  сельского поселения Урюпинского  района развивается на базе природного газа давлением 1,2 МПа через ГРП х. Бесплемяновский и х. Ржавский.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Газоснабжение х. Бесплемяновский и х. Ржавский  развивается на базе природного газа через ГРП.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lastRenderedPageBreak/>
        <w:t>II. СОДЕРЖАНИЕ ПРОБЛЕМЫ И ОБОСНОВАНИЕ НЕОБХОДИМОСТИ ЕЕ РЕШЕНИЯ  ПРОГРАММНЫМИ МЕТОДАМИ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Из-за недостаточной обеспеченности бюджета поселения капитальный   ремонт коммунальной инфраструктуры осуществлялся не в полном объеме. В результате хронического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недоремонта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современное состояние объектов коммунальной инфраструктуры поселения характеризуется высокой степенью износа основного и вспомогательного оборудования (для большинства объектов процент износа составляет от 60% до 90%). При этом от 15% до 40 % инженерных коммуникаций поселения отслужили нормативный срок.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, повышенная аварийность. 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сезона, подача питьевой воды без больших аварий).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Дотационность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 местного бюджета вынуждает бюджет считать как основной,  а часто и единственный финансовый  источник восстановления или    реконструкции муниципального коммунального имущества. При этом: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отсутствуют экономические стимулы эффективного использования бюджетных средств.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Коммунальный комплекс ежегодно требует увеличения денежных средств,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района и опирающихся на бюджетное финансирование.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областной целевой программы.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                        III. ЦЕЛИ И ЗАДАЧИ ПРОГРАММЫ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бюджета поселения.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отрасли актуализирует проблему повышения эффективности функционирования жилищно-коммунального комплекса.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Эта задача решается организационными мероприятиями, включающими в себя долгосрочный договор аренды или доверительного управления коммунальным </w:t>
      </w:r>
      <w:r w:rsidRPr="00C31E79">
        <w:rPr>
          <w:rFonts w:ascii="Times New Roman" w:hAnsi="Times New Roman" w:cs="Times New Roman"/>
          <w:sz w:val="24"/>
          <w:szCs w:val="24"/>
        </w:rPr>
        <w:lastRenderedPageBreak/>
        <w:t>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Таким образом, основными задачами настоящей Программы являются: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1.   Разработка  проектов оптимизации коммунальной инфраструктуры    муниципального образования.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 Модернизация технической инфраструктуры коммунального комплекса  на основе привлечения средств бюджета и внебюджетных источников.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                        IV. ЭТАПЫ РЕАЛИЗАЦИИ ПРОГРАММЫ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Выполнение поставленных задач в соответствии с основными принципами   их решения осуществляется поэтапно и основывается на реализации    комплексов  первоочередных  и долгосрочных мероприятий.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На первом этапе (2017 г.- 2020 г.) планируется на сумму  2 000 000 руб.: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1.Продолжить работу с населением по вопросу заключения договоров с МУП «Газстройсервис» по сбору</w:t>
      </w:r>
      <w:r w:rsidR="00D50F87">
        <w:rPr>
          <w:rFonts w:ascii="Times New Roman" w:hAnsi="Times New Roman" w:cs="Times New Roman"/>
          <w:sz w:val="24"/>
          <w:szCs w:val="24"/>
        </w:rPr>
        <w:t xml:space="preserve"> и транспортировке твёрдых коммуна</w:t>
      </w:r>
      <w:r w:rsidRPr="00C31E79">
        <w:rPr>
          <w:rFonts w:ascii="Times New Roman" w:hAnsi="Times New Roman" w:cs="Times New Roman"/>
          <w:sz w:val="24"/>
          <w:szCs w:val="24"/>
        </w:rPr>
        <w:t>льных отходов.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 Участие в организации деятельности по сбору (в том числе раздельному сбору) и транспортированию твёрдых коммунальных отходов в х. Ржавский.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3. Ремонт водозаборных скважин, замена труб  на трубы 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>/э.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4. Благоустройство и ремонт дорог, с твердым покрытием в х. Ржавский.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5. Изготовление проектно-сметной документации на уличное освещение; за счет средств местного бюджета.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На втором этапе (2020 г.- 2021г.) планируется 900 000 руб.: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1.</w:t>
      </w:r>
      <w:r w:rsidR="00D50F87">
        <w:rPr>
          <w:rFonts w:ascii="Times New Roman" w:hAnsi="Times New Roman" w:cs="Times New Roman"/>
          <w:sz w:val="24"/>
          <w:szCs w:val="24"/>
        </w:rPr>
        <w:t xml:space="preserve"> Монтаж дополнительных светильни</w:t>
      </w:r>
      <w:r w:rsidRPr="00C31E79">
        <w:rPr>
          <w:rFonts w:ascii="Times New Roman" w:hAnsi="Times New Roman" w:cs="Times New Roman"/>
          <w:sz w:val="24"/>
          <w:szCs w:val="24"/>
        </w:rPr>
        <w:t xml:space="preserve">ков уличного освещения в х. Ржавский в количестве 5 штук. 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 Благоустройство и ремонт дорог в х. Ржавский.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3. Ремонт водопроводных сетей.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На третьем этапе (2022 г. - 2023 г.) планируется 500 000 руб.: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1. Ремонт сетей водоснабжения.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</w:t>
      </w:r>
      <w:r w:rsidR="00D50F87">
        <w:rPr>
          <w:rFonts w:ascii="Times New Roman" w:hAnsi="Times New Roman" w:cs="Times New Roman"/>
          <w:sz w:val="24"/>
          <w:szCs w:val="24"/>
        </w:rPr>
        <w:t xml:space="preserve"> Монтаж дополнительных светильни</w:t>
      </w:r>
      <w:r w:rsidRPr="00C31E79">
        <w:rPr>
          <w:rFonts w:ascii="Times New Roman" w:hAnsi="Times New Roman" w:cs="Times New Roman"/>
          <w:sz w:val="24"/>
          <w:szCs w:val="24"/>
        </w:rPr>
        <w:t>ков уличного освещения в х. Бесплемяновский в количестве 3 штук.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3. Благоустр</w:t>
      </w:r>
      <w:r w:rsidR="00D50F87">
        <w:rPr>
          <w:rFonts w:ascii="Times New Roman" w:hAnsi="Times New Roman" w:cs="Times New Roman"/>
          <w:sz w:val="24"/>
          <w:szCs w:val="24"/>
        </w:rPr>
        <w:t xml:space="preserve">ойство и ремонт дорог, </w:t>
      </w:r>
      <w:proofErr w:type="gramStart"/>
      <w:r w:rsidR="00D50F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0F87">
        <w:rPr>
          <w:rFonts w:ascii="Times New Roman" w:hAnsi="Times New Roman" w:cs="Times New Roman"/>
          <w:sz w:val="24"/>
          <w:szCs w:val="24"/>
        </w:rPr>
        <w:t xml:space="preserve"> щебёночным</w:t>
      </w:r>
      <w:r w:rsidRPr="00C31E79">
        <w:rPr>
          <w:rFonts w:ascii="Times New Roman" w:hAnsi="Times New Roman" w:cs="Times New Roman"/>
          <w:sz w:val="24"/>
          <w:szCs w:val="24"/>
        </w:rPr>
        <w:t xml:space="preserve"> покрытием в х. Бесплемяновский.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На сельском кладбище оборудовать площадку под контейнеры для 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>раздельного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размещения ТКО и последующей транспортировкой ТКО на полигон «Эко Сфера».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Данной Программой определены оптимальные варианты модернизации  коммунальной инфраструктуры Бесплемяновского  сельского поселения,    направленные  на достижение финансово-сбалансированного состояния, при котором    поселение содержит и развивает инфраструктуру за счет собственных средств,  используя (или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>) помощь вышестоящих бюджетов.   Таким   образом,   приводятся   в   соответствие   уровень   технического   благоустройства поселения и уровень их социально-экономического развития.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     V. ОСНОВНЫЕ ПРИНЦИПЫ И ТРЕБОВАНИЯ К РЕШЕНИЮ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ЗАДАЧ ПРОГРАММЫ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E79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принцип разработки «Программы комплексного развития систем коммунальной инфраструктуры Бесплемяновского  сельского поселения Урюпинского муниципального района Волгоградской области на 2017-2023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>.» базируется на необходимости достичь целевых уровней индикаторов состояния коммунальной инфраструктуры Бесплемяновского сельского поселения Урюпинского муниципального района Волгоградской области,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 поселковый бюджеты, то есть при обеспечении не только технической, но и экономической доступности коммунальных услуг для потребителей поселения. Коммунальные системы довольно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капиталоемки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 xml:space="preserve"> и масштабны. Добиться существенных изменений параметров их функционирования за ограниченный интервал в</w:t>
      </w:r>
      <w:r w:rsidR="00D50F87">
        <w:rPr>
          <w:rFonts w:ascii="Times New Roman" w:hAnsi="Times New Roman" w:cs="Times New Roman"/>
          <w:sz w:val="24"/>
          <w:szCs w:val="24"/>
        </w:rPr>
        <w:t>ремени трудно. По этой причине П</w:t>
      </w:r>
      <w:r w:rsidRPr="00C31E79">
        <w:rPr>
          <w:rFonts w:ascii="Times New Roman" w:hAnsi="Times New Roman" w:cs="Times New Roman"/>
          <w:sz w:val="24"/>
          <w:szCs w:val="24"/>
        </w:rPr>
        <w:t>рограмма рассматривается на длительном интервале времени: 2017-2023 годы.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Данная «Программа комплексного развития систем коммунальной инфраструктуры Бесплемяновского сельского поселения Урюпинского муниципального района Волгоградской области на 2017-2023 </w:t>
      </w:r>
      <w:proofErr w:type="spellStart"/>
      <w:r w:rsidRPr="00C31E7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31E79">
        <w:rPr>
          <w:rFonts w:ascii="Times New Roman" w:hAnsi="Times New Roman" w:cs="Times New Roman"/>
          <w:sz w:val="24"/>
          <w:szCs w:val="24"/>
        </w:rPr>
        <w:t>.» разработана на основании технического задания для заключения муниципальных контрактов и договоров на выполнение работ для муниципальных нужд Бесплемяновского сельского поселения Урюпинского муниципального района Волгоградской области.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Программой устанавливается необходимость проведения мероприятий по энергосбережению при производстве, транспортировке и потреблении энергоресурсов стимулирование установки приборов коммерческого учета воды, прежде всего индивидуального пользования.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VI. РЕСУРСНОЕ ОБЕСПЕЧЕНИЕ ПРОГРАММЫ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Имеется предварительная информация о составе и объемах работ, необходимых для приведения в нормативное состояние существующих объектов коммунальной инфраструктуры Бесплемяновского  сельского поселения. В 2018 году необходимо определить стоимость работ по сметным расценкам.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Объем средств, необходимых для приведения в нормативное состояние объектов жилищно-коммунального хозяйства Бесплемяновского сельского поселения будет зависеть от суммы затрат, определенных проектно-сметной документацией для строительства объектов коммунальной инфраструктуры.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Финансирование настоящей программы предусматривается осуществлять за счет федерального, областного, районного  и местных бюджетов, внебюджетных источников.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Программой должно быть определено, что средства местного и внебюджетных источников направляются на изготовление проектно-сметной документации. На строительство объектов коммунальной инфраструктуры планируется направить средства федерального и областного бюджетов.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VII. УПРАВЛЕНИЕ ПРОГРАММОЙ, ФОРМЫ И ПОРЯДОК ОСУЩЕСТВЛЕНИЯ </w:t>
      </w:r>
      <w:proofErr w:type="gramStart"/>
      <w:r w:rsidRPr="00C31E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1E79">
        <w:rPr>
          <w:rFonts w:ascii="Times New Roman" w:hAnsi="Times New Roman" w:cs="Times New Roman"/>
          <w:sz w:val="24"/>
          <w:szCs w:val="24"/>
        </w:rPr>
        <w:t xml:space="preserve"> ЕЕ РЕАЛИЗАЦИЕЙ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Ответственный за реализацию программы  – главный специалист по ЖКХ администрации Бесплемяновского сельского поселения Урюпинского муниципального района Волгоградской области.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Текущий контроль - глава администрации Бесплемяновского сельского поселения Урюпинского муниципального района Волгоградской области.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 xml:space="preserve">               VIII. ОЖИДАЕМЫЕ РЕЗУЛЬТАТЫ ОТ РЕАЛИЗАЦИИ ПРОГРАММЫ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1.  Технологические результаты: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lastRenderedPageBreak/>
        <w:t>-  повышение надежности работы системы коммунальной инфраструктуры;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-  снижение потерь коммунальных ресурсов в производственном процессе.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2.  Коммерческий результат: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-  повышение эффективности финансово-хозяйственной деятельности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предприятий коммунального комплекса;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3.  Бюджетный результат: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-  развитие предприятий приведет к увеличению бюджетных поступлений;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4.  Социальный результат:</w:t>
      </w:r>
    </w:p>
    <w:p w:rsidR="00C31E79" w:rsidRPr="00C31E79" w:rsidRDefault="00C31E79" w:rsidP="00C31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E79">
        <w:rPr>
          <w:rFonts w:ascii="Times New Roman" w:hAnsi="Times New Roman" w:cs="Times New Roman"/>
          <w:sz w:val="24"/>
          <w:szCs w:val="24"/>
        </w:rPr>
        <w:t>- повышение качества коммунальных услуг</w:t>
      </w:r>
    </w:p>
    <w:sectPr w:rsidR="00C31E79" w:rsidRPr="00C3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8A6"/>
    <w:multiLevelType w:val="hybridMultilevel"/>
    <w:tmpl w:val="387EAE54"/>
    <w:lvl w:ilvl="0" w:tplc="6AD6F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79"/>
    <w:rsid w:val="004A471D"/>
    <w:rsid w:val="00547011"/>
    <w:rsid w:val="00B9082A"/>
    <w:rsid w:val="00C31E79"/>
    <w:rsid w:val="00D50F87"/>
    <w:rsid w:val="00E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E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E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123</cp:lastModifiedBy>
  <cp:revision>5</cp:revision>
  <cp:lastPrinted>2017-11-21T07:18:00Z</cp:lastPrinted>
  <dcterms:created xsi:type="dcterms:W3CDTF">2017-10-24T13:13:00Z</dcterms:created>
  <dcterms:modified xsi:type="dcterms:W3CDTF">2017-11-21T07:19:00Z</dcterms:modified>
</cp:coreProperties>
</file>